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山西中医药大学附属医院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新住院楼信息化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需求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2022年7月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新住院楼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信息化建设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需求</w:t>
      </w:r>
    </w:p>
    <w:p>
      <w:pPr>
        <w:rPr>
          <w:rFonts w:hint="eastAsia" w:ascii="宋体" w:hAnsi="宋体"/>
          <w:b/>
          <w:kern w:val="0"/>
          <w:sz w:val="22"/>
          <w:szCs w:val="22"/>
          <w:lang w:eastAsia="zh-CN"/>
        </w:rPr>
      </w:pPr>
    </w:p>
    <w:p>
      <w:pPr>
        <w:outlineLvl w:val="0"/>
        <w:rPr>
          <w:rFonts w:hint="eastAsia" w:ascii="宋体" w:hAnsi="宋体"/>
          <w:b/>
          <w:kern w:val="0"/>
          <w:sz w:val="32"/>
          <w:szCs w:val="32"/>
        </w:rPr>
      </w:pPr>
      <w:bookmarkStart w:id="0" w:name="_Toc27726"/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kern w:val="0"/>
          <w:sz w:val="32"/>
          <w:szCs w:val="32"/>
        </w:rPr>
        <w:t>项目概述</w:t>
      </w:r>
      <w:bookmarkEnd w:id="0"/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新建</w:t>
      </w:r>
      <w:r>
        <w:rPr>
          <w:rFonts w:hint="eastAsia" w:eastAsia="宋体" w:cs="宋体"/>
          <w:kern w:val="2"/>
          <w:sz w:val="28"/>
          <w:szCs w:val="28"/>
          <w:lang w:eastAsia="zh-CN"/>
        </w:rPr>
        <w:t>住院楼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，地下1层，地上18层。总建筑面积35980平方米，建筑高度83.45米，框架结构，床位8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2"/>
          <w:sz w:val="28"/>
          <w:szCs w:val="28"/>
        </w:rPr>
        <w:t>0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余张</w:t>
      </w:r>
      <w:r>
        <w:rPr>
          <w:rFonts w:hint="eastAsia" w:ascii="宋体" w:hAnsi="宋体" w:eastAsia="宋体" w:cs="宋体"/>
          <w:kern w:val="2"/>
          <w:sz w:val="28"/>
          <w:szCs w:val="28"/>
        </w:rPr>
        <w:t>。主要功能为中医传承医疗、示教、住院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kern w:val="2"/>
          <w:sz w:val="28"/>
          <w:szCs w:val="28"/>
        </w:rPr>
        <w:t>；内设9部电梯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</w:rPr>
        <w:t>15个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病区，</w:t>
      </w:r>
      <w:r>
        <w:rPr>
          <w:rFonts w:hint="eastAsia" w:ascii="宋体" w:hAnsi="宋体" w:eastAsia="宋体" w:cs="宋体"/>
          <w:kern w:val="2"/>
          <w:sz w:val="28"/>
          <w:szCs w:val="28"/>
        </w:rPr>
        <w:t>8间手术室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2"/>
          <w:sz w:val="28"/>
          <w:szCs w:val="28"/>
        </w:rPr>
        <w:t>一层设有共享大厅、出入院、医保、住院服务中心、病案、信息机房、住院药房、消控、监控室等；二层为</w:t>
      </w:r>
      <w:r>
        <w:rPr>
          <w:rFonts w:hint="eastAsia" w:eastAsia="宋体" w:cs="宋体"/>
          <w:kern w:val="2"/>
          <w:sz w:val="28"/>
          <w:szCs w:val="28"/>
          <w:lang w:val="en-US" w:eastAsia="zh-CN"/>
        </w:rPr>
        <w:t>生殖中心</w:t>
      </w:r>
      <w:r>
        <w:rPr>
          <w:rFonts w:hint="eastAsia" w:ascii="宋体" w:hAnsi="宋体" w:eastAsia="宋体" w:cs="宋体"/>
          <w:kern w:val="2"/>
          <w:sz w:val="28"/>
          <w:szCs w:val="28"/>
        </w:rPr>
        <w:t>、ICU；三层为手术室；三层上为洁净设备层；四层为产房与妇产科；五层至十八层为标准护理单元。</w:t>
      </w:r>
    </w:p>
    <w:p>
      <w:pPr>
        <w:outlineLvl w:val="0"/>
        <w:rPr>
          <w:rFonts w:hint="eastAsia" w:ascii="宋体" w:hAnsi="宋体"/>
          <w:b/>
          <w:kern w:val="0"/>
          <w:sz w:val="32"/>
          <w:szCs w:val="32"/>
          <w:lang w:eastAsia="zh-CN"/>
        </w:rPr>
      </w:pPr>
      <w:bookmarkStart w:id="1" w:name="_Toc23946"/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二、项目范围</w:t>
      </w:r>
      <w:bookmarkEnd w:id="1"/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楼层网络设备：包括内、外网交换机及汇聚交换机。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2、多媒体系统：LED屏、信息发布屏、会议一体机系统。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3、桌面云、台式电脑、一体机电脑、打印机等终端设备。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4、机房配电UPS等。</w:t>
      </w:r>
    </w:p>
    <w:p>
      <w:pPr>
        <w:numPr>
          <w:ilvl w:val="0"/>
          <w:numId w:val="2"/>
        </w:numPr>
        <w:outlineLvl w:val="0"/>
        <w:rPr>
          <w:rFonts w:hint="eastAsia" w:ascii="宋体" w:hAnsi="宋体"/>
          <w:b/>
          <w:kern w:val="0"/>
          <w:sz w:val="32"/>
          <w:szCs w:val="32"/>
          <w:lang w:eastAsia="zh-CN"/>
        </w:rPr>
      </w:pPr>
      <w:bookmarkStart w:id="2" w:name="_Toc6926"/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设计原则</w:t>
      </w:r>
      <w:bookmarkEnd w:id="2"/>
    </w:p>
    <w:p>
      <w:pPr>
        <w:pStyle w:val="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医院网络是医院业务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系统稳定运行</w:t>
      </w:r>
      <w:r>
        <w:rPr>
          <w:rFonts w:hint="eastAsia" w:ascii="宋体" w:hAnsi="宋体" w:eastAsia="宋体" w:cs="宋体"/>
          <w:sz w:val="28"/>
          <w:szCs w:val="28"/>
        </w:rPr>
        <w:t>的基础，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承担</w:t>
      </w:r>
      <w:r>
        <w:rPr>
          <w:rFonts w:hint="eastAsia" w:ascii="宋体" w:hAnsi="宋体" w:eastAsia="宋体" w:cs="宋体"/>
          <w:sz w:val="28"/>
          <w:szCs w:val="28"/>
        </w:rPr>
        <w:t>着医院所有信息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系统的数据传输功能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对维持正常的医疗秩序至关重要，</w:t>
      </w:r>
      <w:r>
        <w:rPr>
          <w:rFonts w:hint="eastAsia" w:ascii="宋体" w:hAnsi="宋体" w:eastAsia="宋体" w:cs="宋体"/>
          <w:sz w:val="28"/>
          <w:szCs w:val="28"/>
        </w:rPr>
        <w:t>应本着以下原则进行建设：</w:t>
      </w:r>
    </w:p>
    <w:p>
      <w:pPr>
        <w:pStyle w:val="16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稳定性、可靠性、可用性</w:t>
      </w:r>
    </w:p>
    <w:p>
      <w:pPr>
        <w:pStyle w:val="16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安全性</w:t>
      </w:r>
    </w:p>
    <w:p>
      <w:pPr>
        <w:pStyle w:val="16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先进性、可扩展性与实用性结合</w:t>
      </w:r>
    </w:p>
    <w:p>
      <w:pPr>
        <w:pStyle w:val="16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可维护、可管理性</w:t>
      </w:r>
    </w:p>
    <w:p>
      <w:pPr>
        <w:pStyle w:val="15"/>
        <w:numPr>
          <w:ilvl w:val="0"/>
          <w:numId w:val="0"/>
        </w:numPr>
        <w:ind w:leftChars="0"/>
        <w:outlineLvl w:val="0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bookmarkStart w:id="3" w:name="_Toc21316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四、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具体建设内容</w:t>
      </w:r>
      <w:bookmarkEnd w:id="3"/>
    </w:p>
    <w:p>
      <w:pPr>
        <w:pStyle w:val="15"/>
        <w:numPr>
          <w:ilvl w:val="0"/>
          <w:numId w:val="0"/>
        </w:numPr>
        <w:ind w:leftChars="0" w:firstLine="561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4" w:name="_Toc14097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楼层网络设备</w:t>
      </w:r>
      <w:bookmarkEnd w:id="4"/>
    </w:p>
    <w:p>
      <w:pPr>
        <w:bidi w:val="0"/>
        <w:jc w:val="center"/>
        <w:rPr>
          <w:rFonts w:hint="eastAsia"/>
          <w:lang w:val="en-US" w:eastAsia="zh-CN"/>
        </w:rPr>
      </w:pPr>
      <w:bookmarkStart w:id="5" w:name="_Toc1212"/>
      <w:r>
        <w:rPr>
          <w:rFonts w:hint="eastAsia"/>
          <w:lang w:val="en-US" w:eastAsia="zh-CN"/>
        </w:rPr>
        <w:t>网络设备清单</w:t>
      </w:r>
      <w:bookmarkEnd w:id="5"/>
    </w:p>
    <w:p>
      <w:pPr>
        <w:bidi w:val="0"/>
        <w:rPr>
          <w:rFonts w:hint="eastAsia"/>
          <w:lang w:val="en-US" w:eastAsia="zh-CN"/>
        </w:rPr>
      </w:pPr>
    </w:p>
    <w:tbl>
      <w:tblPr>
        <w:tblStyle w:val="12"/>
        <w:tblW w:w="58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30"/>
        <w:gridCol w:w="1403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内网核心交换机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内网汇聚交换机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外网汇聚交换机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内网安全审计系统扩容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48口内网交换机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48口外网交换机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防火墙扩容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numPr>
          <w:ilvl w:val="0"/>
          <w:numId w:val="3"/>
        </w:numPr>
        <w:ind w:firstLine="562" w:firstLineChars="200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6" w:name="_Toc2354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多媒体系统</w:t>
      </w:r>
      <w:bookmarkEnd w:id="6"/>
    </w:p>
    <w:p>
      <w:pPr>
        <w:pStyle w:val="3"/>
        <w:bidi w:val="0"/>
        <w:ind w:left="42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7" w:name="_Toc1286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2.1住院大厅LED屏</w:t>
      </w:r>
      <w:bookmarkEnd w:id="7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4568825" cy="2388870"/>
            <wp:effectExtent l="0" t="0" r="3175" b="3810"/>
            <wp:docPr id="9" name="图片 9" descr="9.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.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pStyle w:val="3"/>
        <w:bidi w:val="0"/>
        <w:ind w:left="420" w:leftChars="0" w:firstLine="420" w:firstLineChars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8" w:name="_Toc22326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2.2电梯两侧多媒体系统</w:t>
      </w:r>
      <w:bookmarkEnd w:id="8"/>
    </w:p>
    <w:p>
      <w:pPr>
        <w:ind w:firstLine="840" w:firstLineChars="3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位置：新住院楼18层，每层主电梯间北侧各一台，共设18台。</w:t>
      </w:r>
    </w:p>
    <w:p>
      <w:pPr>
        <w:pStyle w:val="3"/>
        <w:bidi w:val="0"/>
        <w:ind w:left="420" w:leftChars="0" w:firstLine="420" w:firstLineChars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9" w:name="_Toc4127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2.3医生办电子白板</w:t>
      </w:r>
      <w:bookmarkEnd w:id="9"/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位置：新住院楼四层至十八层医生办各一台，共15台。</w:t>
      </w:r>
    </w:p>
    <w:p>
      <w:pPr>
        <w:numPr>
          <w:ilvl w:val="0"/>
          <w:numId w:val="0"/>
        </w:numPr>
        <w:ind w:firstLine="562" w:firstLineChars="200"/>
        <w:outlineLvl w:val="1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10" w:name="_Toc5515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3、桌面云及打印机等终端设备</w:t>
      </w:r>
      <w:bookmarkEnd w:id="10"/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（1）6台桌面云服务器、2台存储交换机、150台瘦终端，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台式电脑20台。</w:t>
      </w:r>
    </w:p>
    <w:p>
      <w:pPr>
        <w:numPr>
          <w:ilvl w:val="0"/>
          <w:numId w:val="4"/>
        </w:num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一体机电脑6台。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（4）黑白网络打印机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台。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（5）黑白多功能一体机15台。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（6）热敏打印机45台。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200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11" w:name="_Toc16001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4、机房配电</w:t>
      </w:r>
      <w:bookmarkEnd w:id="11"/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bookmarkStart w:id="12" w:name="_GoBack"/>
      <w:bookmarkEnd w:id="12"/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drawing>
          <wp:inline distT="0" distB="0" distL="114300" distR="114300">
            <wp:extent cx="5264785" cy="4593590"/>
            <wp:effectExtent l="0" t="0" r="825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5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114300" distR="114300">
          <wp:extent cx="2555875" cy="412115"/>
          <wp:effectExtent l="0" t="0" r="0" b="6985"/>
          <wp:docPr id="3" name="图片 1" descr="山西中医药大学附属医院标准组合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山西中医药大学附属医院标准组合透明底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890" t="27437" r="2751" b="50989"/>
                  <a:stretch>
                    <a:fillRect/>
                  </a:stretch>
                </pic:blipFill>
                <pic:spPr>
                  <a:xfrm>
                    <a:off x="0" y="0"/>
                    <a:ext cx="2555875" cy="4121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1FC23"/>
    <w:multiLevelType w:val="singleLevel"/>
    <w:tmpl w:val="BB81FC2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EF14027"/>
    <w:multiLevelType w:val="singleLevel"/>
    <w:tmpl w:val="3EF140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C3D6FD"/>
    <w:multiLevelType w:val="singleLevel"/>
    <w:tmpl w:val="5AC3D6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283BEC"/>
    <w:multiLevelType w:val="singleLevel"/>
    <w:tmpl w:val="62283B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zMwNGFiNjg1MTkyZGZiMTBhZjk2MDdiYTI2YzgifQ=="/>
  </w:docVars>
  <w:rsids>
    <w:rsidRoot w:val="57013445"/>
    <w:rsid w:val="00A40E1C"/>
    <w:rsid w:val="00C64E34"/>
    <w:rsid w:val="028510EE"/>
    <w:rsid w:val="03AD56D4"/>
    <w:rsid w:val="04937403"/>
    <w:rsid w:val="08567C41"/>
    <w:rsid w:val="0B036597"/>
    <w:rsid w:val="0EF47038"/>
    <w:rsid w:val="0FCC39A6"/>
    <w:rsid w:val="139F2443"/>
    <w:rsid w:val="162D56FA"/>
    <w:rsid w:val="18305242"/>
    <w:rsid w:val="19B07E36"/>
    <w:rsid w:val="19D77DE6"/>
    <w:rsid w:val="1C7E59CA"/>
    <w:rsid w:val="1CE25548"/>
    <w:rsid w:val="1E787080"/>
    <w:rsid w:val="2063403E"/>
    <w:rsid w:val="20DC414B"/>
    <w:rsid w:val="211E7F64"/>
    <w:rsid w:val="213757E5"/>
    <w:rsid w:val="221A6CB5"/>
    <w:rsid w:val="23433101"/>
    <w:rsid w:val="26EA3084"/>
    <w:rsid w:val="27180A71"/>
    <w:rsid w:val="27912AD7"/>
    <w:rsid w:val="2C3073D2"/>
    <w:rsid w:val="2CD12F71"/>
    <w:rsid w:val="2E0D589E"/>
    <w:rsid w:val="2EDF1AC1"/>
    <w:rsid w:val="31031967"/>
    <w:rsid w:val="329250FA"/>
    <w:rsid w:val="32E8726B"/>
    <w:rsid w:val="36EB65AC"/>
    <w:rsid w:val="3BB11918"/>
    <w:rsid w:val="3CEB5048"/>
    <w:rsid w:val="3D6819A4"/>
    <w:rsid w:val="3EB05C73"/>
    <w:rsid w:val="412C7778"/>
    <w:rsid w:val="43091C1B"/>
    <w:rsid w:val="43AB5AC7"/>
    <w:rsid w:val="443A4034"/>
    <w:rsid w:val="447D6DE6"/>
    <w:rsid w:val="453A1F41"/>
    <w:rsid w:val="4600553D"/>
    <w:rsid w:val="46C20B9D"/>
    <w:rsid w:val="47C40D7B"/>
    <w:rsid w:val="4CEB5C8F"/>
    <w:rsid w:val="4E7C0963"/>
    <w:rsid w:val="50306B4A"/>
    <w:rsid w:val="55DA4F76"/>
    <w:rsid w:val="55FA1F10"/>
    <w:rsid w:val="57013445"/>
    <w:rsid w:val="57805EE1"/>
    <w:rsid w:val="57E33779"/>
    <w:rsid w:val="5AA911AC"/>
    <w:rsid w:val="5C0C3443"/>
    <w:rsid w:val="61675E4D"/>
    <w:rsid w:val="64A336F2"/>
    <w:rsid w:val="65327795"/>
    <w:rsid w:val="65940774"/>
    <w:rsid w:val="65C43C42"/>
    <w:rsid w:val="68F6670A"/>
    <w:rsid w:val="69342131"/>
    <w:rsid w:val="6A444E05"/>
    <w:rsid w:val="6D535020"/>
    <w:rsid w:val="6FB90E7F"/>
    <w:rsid w:val="70497679"/>
    <w:rsid w:val="71291DF5"/>
    <w:rsid w:val="72653AB2"/>
    <w:rsid w:val="73FC7E85"/>
    <w:rsid w:val="758E5FFC"/>
    <w:rsid w:val="773950FF"/>
    <w:rsid w:val="79055090"/>
    <w:rsid w:val="793B632B"/>
    <w:rsid w:val="7C8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"/>
    <w:basedOn w:val="1"/>
    <w:qFormat/>
    <w:uiPriority w:val="0"/>
    <w:pPr>
      <w:topLinePunct w:val="0"/>
      <w:adjustRightInd/>
      <w:snapToGrid/>
      <w:spacing w:before="100" w:beforeAutospacing="1" w:after="100" w:afterAutospacing="1" w:line="240" w:lineRule="auto"/>
      <w:ind w:left="0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2缩进"/>
    <w:basedOn w:val="14"/>
    <w:qFormat/>
    <w:uiPriority w:val="0"/>
    <w:pPr>
      <w:shd w:val="clear" w:color="auto" w:fill="FFFFFF"/>
      <w:spacing w:before="0" w:beforeAutospacing="0" w:after="0" w:afterAutospacing="0" w:line="360" w:lineRule="auto"/>
      <w:ind w:firstLine="480" w:firstLineChars="200"/>
    </w:pPr>
    <w:rPr>
      <w:rFonts w:ascii="Times New Roman" w:hAnsi="Times New Roman" w:cs="Times New Roman"/>
      <w:kern w:val="2"/>
    </w:rPr>
  </w:style>
  <w:style w:type="paragraph" w:customStyle="1" w:styleId="16">
    <w:name w:val="一级标题"/>
    <w:basedOn w:val="17"/>
    <w:qFormat/>
    <w:uiPriority w:val="0"/>
    <w:pPr>
      <w:ind w:left="851"/>
    </w:pPr>
  </w:style>
  <w:style w:type="paragraph" w:customStyle="1" w:styleId="17">
    <w:name w:val="正文2"/>
    <w:basedOn w:val="1"/>
    <w:qFormat/>
    <w:uiPriority w:val="0"/>
    <w:pPr>
      <w:jc w:val="both"/>
    </w:pPr>
  </w:style>
  <w:style w:type="character" w:customStyle="1" w:styleId="18">
    <w:name w:val="font5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font11"/>
    <w:basedOn w:val="11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2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  <w:vertAlign w:val="superscript"/>
    </w:rPr>
  </w:style>
  <w:style w:type="character" w:customStyle="1" w:styleId="23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4">
    <w:name w:val="font41"/>
    <w:basedOn w:val="11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17</Pages>
  <Words>6990</Words>
  <Characters>8846</Characters>
  <Lines>0</Lines>
  <Paragraphs>0</Paragraphs>
  <ScaleCrop>false</ScaleCrop>
  <LinksUpToDate>false</LinksUpToDate>
  <CharactersWithSpaces>9014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2022-03-16T00:29:00Z</dcterms:created>
  <dc:creator>Administrator</dc:creator>
  <cp:lastModifiedBy>Administrator</cp:lastModifiedBy>
  <cp:lastPrinted>2022-03-16T07:08:00Z</cp:lastPrinted>
  <dcterms:modified xsi:type="dcterms:W3CDTF">2022-07-14T01:25:27Z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1ECFF01F6E0A4AF6AD445BA334236CD3</vt:lpwstr>
  </property>
</Properties>
</file>