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4"/>
          <w:rFonts w:hint="default" w:ascii="Calibri" w:hAnsi="Calibri" w:eastAsia="宋体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kern w:val="2"/>
          <w:sz w:val="32"/>
          <w:szCs w:val="32"/>
          <w:lang w:val="en-US" w:eastAsia="zh-CN" w:bidi="ar-SA"/>
        </w:rPr>
        <w:t>中药熏蒸仪（单头）技术参数</w:t>
      </w:r>
      <w:r>
        <w:rPr>
          <w:rStyle w:val="4"/>
          <w:rFonts w:hint="eastAsia"/>
          <w:b/>
          <w:kern w:val="2"/>
          <w:sz w:val="32"/>
          <w:szCs w:val="32"/>
          <w:lang w:val="en-US" w:eastAsia="zh-CN" w:bidi="ar-SA"/>
        </w:rPr>
        <w:t xml:space="preserve">   （1台）</w:t>
      </w:r>
    </w:p>
    <w:p>
      <w:pPr>
        <w:jc w:val="center"/>
        <w:textAlignment w:val="baseline"/>
        <w:rPr>
          <w:rStyle w:val="4"/>
          <w:rFonts w:ascii="Calibri" w:hAnsi="Calibri" w:eastAsia="宋体"/>
          <w:b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治疗头旋转角度:治疗头可水平旋转150度以上。</w:t>
      </w:r>
    </w:p>
    <w:p>
      <w:pPr>
        <w:numPr>
          <w:ilvl w:val="0"/>
          <w:numId w:val="0"/>
        </w:numPr>
        <w:ind w:leftChars="0"/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2.熏蒸温度：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tLeast"/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（1）熏蒸温度在室温～47℃内可调；</w:t>
      </w:r>
    </w:p>
    <w:p>
      <w:pPr>
        <w:numPr>
          <w:ilvl w:val="0"/>
          <w:numId w:val="0"/>
        </w:numPr>
        <w:spacing w:line="240" w:lineRule="atLeast"/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（2）熏蒸仪有温度传感器测量皮肤温度并有实时数码显示，皮肤温度超过45℃时，熏蒸仪有提示音，传感器精度不低于±1℃；</w:t>
      </w:r>
    </w:p>
    <w:p>
      <w:pPr>
        <w:numPr>
          <w:ilvl w:val="0"/>
          <w:numId w:val="0"/>
        </w:numPr>
        <w:spacing w:line="240" w:lineRule="atLeast"/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（3）蒸汽输出口有防烫伤护罩和警示提示。</w:t>
      </w:r>
    </w:p>
    <w:p>
      <w:pPr>
        <w:numPr>
          <w:ilvl w:val="0"/>
          <w:numId w:val="1"/>
        </w:numPr>
        <w:ind w:left="0" w:leftChars="0" w:firstLineChars="0"/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熏蒸时间：熏蒸仪治疗时间可设定。治疗时间结束时，熏蒸仪输出蒸汽停止。</w:t>
      </w:r>
    </w:p>
    <w:p>
      <w:pPr>
        <w:numPr>
          <w:ilvl w:val="0"/>
          <w:numId w:val="1"/>
        </w:numPr>
        <w:ind w:left="0" w:leftChars="0" w:firstLineChars="0"/>
        <w:jc w:val="both"/>
        <w:textAlignment w:val="baseline"/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0"/>
          <w:szCs w:val="30"/>
          <w:lang w:val="en-US" w:eastAsia="zh-CN" w:bidi="ar-SA"/>
        </w:rPr>
        <w:t>防干烧功能：熏蒸仪具有液位防干烧功能，当药液箱中液面低于液位装置时，可自动停止加热，防止干烧。</w:t>
      </w:r>
    </w:p>
    <w:p>
      <w:pPr>
        <w:jc w:val="center"/>
        <w:textAlignment w:val="baseline"/>
        <w:rPr>
          <w:rStyle w:val="4"/>
          <w:rFonts w:ascii="Calibri" w:hAnsi="Calibri" w:eastAsia="宋体"/>
          <w:b/>
          <w:kern w:val="2"/>
          <w:sz w:val="30"/>
          <w:szCs w:val="30"/>
          <w:lang w:val="en-US" w:eastAsia="zh-CN" w:bidi="ar-SA"/>
        </w:rPr>
      </w:pPr>
    </w:p>
    <w:p>
      <w:pPr>
        <w:jc w:val="center"/>
        <w:textAlignment w:val="baseline"/>
        <w:rPr>
          <w:rStyle w:val="4"/>
          <w:rFonts w:ascii="Calibri" w:hAnsi="Calibri" w:eastAsia="宋体"/>
          <w:b/>
          <w:kern w:val="2"/>
          <w:sz w:val="30"/>
          <w:szCs w:val="30"/>
          <w:lang w:val="en-US" w:eastAsia="zh-CN" w:bidi="ar-SA"/>
        </w:rPr>
      </w:pPr>
    </w:p>
    <w:p>
      <w:pPr>
        <w:jc w:val="center"/>
        <w:textAlignment w:val="baseline"/>
        <w:rPr>
          <w:rStyle w:val="4"/>
          <w:rFonts w:ascii="Calibri" w:hAnsi="Calibri" w:eastAsia="宋体"/>
          <w:b/>
          <w:kern w:val="2"/>
          <w:sz w:val="30"/>
          <w:szCs w:val="30"/>
          <w:lang w:val="en-US" w:eastAsia="zh-CN" w:bidi="ar-SA"/>
        </w:rPr>
      </w:pPr>
    </w:p>
    <w:p>
      <w:pPr>
        <w:jc w:val="both"/>
        <w:textAlignment w:val="baseline"/>
        <w:rPr>
          <w:rStyle w:val="4"/>
          <w:rFonts w:ascii="Calibri" w:hAnsi="Calibri" w:eastAsia="宋体"/>
          <w:b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Calibri" w:hAnsi="Calibri" w:eastAsia="宋体"/>
          <w:b/>
          <w:kern w:val="2"/>
          <w:sz w:val="30"/>
          <w:szCs w:val="30"/>
          <w:lang w:val="en-US" w:eastAsia="zh-CN" w:bidi="ar-SA"/>
        </w:rPr>
        <w:t xml:space="preserve">                                </w:t>
      </w:r>
    </w:p>
    <w:p>
      <w:pPr>
        <w:jc w:val="both"/>
        <w:textAlignment w:val="baseline"/>
        <w:rPr>
          <w:rStyle w:val="4"/>
          <w:rFonts w:ascii="Calibri" w:hAnsi="Calibri" w:eastAsia="宋体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F190F"/>
    <w:multiLevelType w:val="singleLevel"/>
    <w:tmpl w:val="960F190F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67047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  <w:style w:type="paragraph" w:customStyle="1" w:styleId="6">
    <w:name w:val="179"/>
    <w:basedOn w:val="1"/>
    <w:uiPriority w:val="0"/>
    <w:pPr>
      <w:ind w:firstLine="420" w:firstLineChars="200"/>
      <w:jc w:val="both"/>
      <w:textAlignment w:val="baseline"/>
    </w:pPr>
  </w:style>
  <w:style w:type="table" w:customStyle="1" w:styleId="7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2020-04-20T07:47:24Z</dcterms:created>
  <dc:creator>Dell</dc:creator>
  <cp:lastModifiedBy>雷丽峰</cp:lastModifiedBy>
  <dcterms:modified xsi:type="dcterms:W3CDTF">2020-04-20T07:48:01Z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